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8" w:w="11906" w:orient="portrait"/>
          <w:pgMar w:bottom="1440.0000000000002" w:top="1440.0000000000002" w:left="1440.0000000000002" w:right="1440.0000000000002" w:header="720" w:footer="720"/>
          <w:pgNumType w:start="1"/>
        </w:sectPr>
      </w:pPr>
      <w:bookmarkStart w:colFirst="0" w:colLast="0" w:name="_z4ot6ka6gqer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CAPA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1 - OBJETIVO</w:t>
      </w:r>
    </w:p>
    <w:p w:rsidR="00000000" w:rsidDel="00000000" w:rsidP="00000000" w:rsidRDefault="00000000" w:rsidRPr="00000000" w14:paraId="00000003">
      <w:pPr>
        <w:rPr/>
        <w:sectPr>
          <w:headerReference r:id="rId6" w:type="default"/>
          <w:headerReference r:id="rId7" w:type="first"/>
          <w:footerReference r:id="rId8" w:type="first"/>
          <w:type w:val="nextPage"/>
          <w:pgSz w:h="16838" w:w="11906" w:orient="portrait"/>
          <w:pgMar w:bottom="1440.0000000000002" w:top="1440.0000000000002" w:left="1440.0000000000002" w:right="1440.0000000000002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  <w:t xml:space="preserve">Padronizar o processo de gravação de sinais através do sistema Pebble, orientando desde a comutação inicial do sinal na matriz Nucleus até o registro das informações e finalização da gravação. O procedimento visa garantir que o sinal correto seja direcionado, gravado com as informações adequadas e disponibilizado corretamente. </w:t>
      </w:r>
    </w:p>
    <w:p w:rsidR="00000000" w:rsidDel="00000000" w:rsidP="00000000" w:rsidRDefault="00000000" w:rsidRPr="00000000" w14:paraId="0000000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9" w:type="default"/>
          <w:headerReference r:id="rId10" w:type="first"/>
          <w:footerReference r:id="rId11" w:type="first"/>
          <w:type w:val="nextPage"/>
          <w:pgSz w:h="16838" w:w="11906" w:orient="portrait"/>
          <w:pgMar w:bottom="1440.0000000000002" w:top="1440.0000000000002" w:left="1440.0000000000002" w:right="1440.0000000000002" w:header="720" w:footer="720"/>
          <w:pgNumType w:start="1"/>
        </w:sectPr>
      </w:pPr>
      <w:bookmarkStart w:colFirst="0" w:colLast="0" w:name="_ltm36acp0vud" w:id="1"/>
      <w:bookmarkEnd w:id="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PROCEDIMENTO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2 - ORIENTAÇÕES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2.2 - Procedimento passo a passo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2.2.1 - Ajuste de sinal na Nucleus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 Nucleus é a matriz de comutação do router usada para rotear sinais de vídeo entre os nossos dispositivos da CTRS.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Para realizar o roteamento corretamente: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Acessar a matriz da Nucleus.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Selecionar o DEST (Destination) localizado nas fileiras de cima chamado “</w:t>
      </w:r>
      <w:r w:rsidDel="00000000" w:rsidR="00000000" w:rsidRPr="00000000">
        <w:rPr>
          <w:b w:val="1"/>
          <w:rtl w:val="0"/>
        </w:rPr>
        <w:t xml:space="preserve">INGEST1”</w:t>
      </w:r>
      <w:r w:rsidDel="00000000" w:rsidR="00000000" w:rsidRPr="00000000">
        <w:rPr>
          <w:rtl w:val="0"/>
        </w:rPr>
        <w:t xml:space="preserve">, que é o sistema que irá </w:t>
      </w:r>
      <w:r w:rsidDel="00000000" w:rsidR="00000000" w:rsidRPr="00000000">
        <w:rPr>
          <w:b w:val="1"/>
          <w:rtl w:val="0"/>
        </w:rPr>
        <w:t xml:space="preserve">receber o sinal</w:t>
      </w:r>
      <w:r w:rsidDel="00000000" w:rsidR="00000000" w:rsidRPr="00000000">
        <w:rPr>
          <w:rtl w:val="0"/>
        </w:rPr>
        <w:t xml:space="preserve"> e dar um </w:t>
      </w:r>
      <w:r w:rsidDel="00000000" w:rsidR="00000000" w:rsidRPr="00000000">
        <w:rPr>
          <w:b w:val="1"/>
          <w:rtl w:val="0"/>
        </w:rPr>
        <w:t xml:space="preserve">TAKE. 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Em seguida, selecionar o SRC (Source) que está em </w:t>
      </w:r>
      <w:r w:rsidDel="00000000" w:rsidR="00000000" w:rsidRPr="00000000">
        <w:rPr>
          <w:b w:val="1"/>
          <w:rtl w:val="0"/>
        </w:rPr>
        <w:t xml:space="preserve">negrito.</w:t>
      </w:r>
      <w:r w:rsidDel="00000000" w:rsidR="00000000" w:rsidRPr="00000000">
        <w:rPr>
          <w:rtl w:val="0"/>
        </w:rPr>
        <w:t xml:space="preserve"> Escolher a fonte do sinal, por exemplo, </w:t>
      </w:r>
      <w:r w:rsidDel="00000000" w:rsidR="00000000" w:rsidRPr="00000000">
        <w:rPr>
          <w:b w:val="1"/>
          <w:rtl w:val="0"/>
        </w:rPr>
        <w:t xml:space="preserve">PGMITAPHD</w:t>
      </w:r>
      <w:r w:rsidDel="00000000" w:rsidR="00000000" w:rsidRPr="00000000">
        <w:rPr>
          <w:rtl w:val="0"/>
        </w:rPr>
        <w:t xml:space="preserve">, que representa </w:t>
      </w:r>
      <w:r w:rsidDel="00000000" w:rsidR="00000000" w:rsidRPr="00000000">
        <w:rPr>
          <w:b w:val="1"/>
          <w:rtl w:val="0"/>
        </w:rPr>
        <w:t xml:space="preserve">o ponto de onde o sinal está vindo</w:t>
      </w:r>
      <w:r w:rsidDel="00000000" w:rsidR="00000000" w:rsidRPr="00000000">
        <w:rPr>
          <w:rtl w:val="0"/>
        </w:rPr>
        <w:t xml:space="preserve"> e dar um </w:t>
      </w:r>
      <w:r w:rsidDel="00000000" w:rsidR="00000000" w:rsidRPr="00000000">
        <w:rPr>
          <w:b w:val="1"/>
          <w:rtl w:val="0"/>
        </w:rPr>
        <w:t xml:space="preserve">TAKE.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Ao onfirmar o roteamento. A Nucleus fará internamente a comutação do sinal do PGMITAPHD para o </w:t>
      </w:r>
      <w:r w:rsidDel="00000000" w:rsidR="00000000" w:rsidRPr="00000000">
        <w:rPr>
          <w:b w:val="1"/>
          <w:rtl w:val="0"/>
        </w:rPr>
        <w:t xml:space="preserve">INGEST1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Você estará direcionando o sinal do </w:t>
      </w:r>
      <w:r w:rsidDel="00000000" w:rsidR="00000000" w:rsidRPr="00000000">
        <w:rPr>
          <w:b w:val="1"/>
          <w:rtl w:val="0"/>
        </w:rPr>
        <w:t xml:space="preserve">PGMITAPHD </w:t>
      </w:r>
      <w:r w:rsidDel="00000000" w:rsidR="00000000" w:rsidRPr="00000000">
        <w:rPr>
          <w:rtl w:val="0"/>
        </w:rPr>
        <w:t xml:space="preserve">(source) para o </w:t>
      </w:r>
      <w:r w:rsidDel="00000000" w:rsidR="00000000" w:rsidRPr="00000000">
        <w:rPr>
          <w:b w:val="1"/>
          <w:rtl w:val="0"/>
        </w:rPr>
        <w:t xml:space="preserve">INGEST1 </w:t>
      </w:r>
      <w:r w:rsidDel="00000000" w:rsidR="00000000" w:rsidRPr="00000000">
        <w:rPr>
          <w:rtl w:val="0"/>
        </w:rPr>
        <w:t xml:space="preserve">(destination). Isso indica que o conteúdo vindo será entregue ao sistema de gravação do Ingest1 da Pebble.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4338" cy="1590755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1590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b w:val="1"/>
          <w:rtl w:val="0"/>
        </w:rPr>
        <w:t xml:space="preserve">OBS.: </w:t>
      </w:r>
      <w:r w:rsidDel="00000000" w:rsidR="00000000" w:rsidRPr="00000000">
        <w:rPr>
          <w:rtl w:val="0"/>
        </w:rPr>
        <w:t xml:space="preserve">Caso o sinal desejado não esteja disponível diretamente na matriz da CTRS, utilize um Tieline para interligá-lo ao sistema. 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2.2.2 - Configurações na Pebble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Acessar o computador com o aplicativo da Pebble.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Ir até a aba </w:t>
      </w:r>
      <w:r w:rsidDel="00000000" w:rsidR="00000000" w:rsidRPr="00000000">
        <w:rPr>
          <w:b w:val="1"/>
          <w:rtl w:val="0"/>
        </w:rPr>
        <w:t xml:space="preserve">Ingest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Preencher os campos conforme descrito: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66678" cy="1892397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6678" cy="1892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Item: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Media ID</w:t>
            </w:r>
          </w:p>
        </w:tc>
        <w:tc>
          <w:tcPr/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Identificador do material (fornecido pelo Mestre)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Duration</w:t>
            </w:r>
          </w:p>
        </w:tc>
        <w:tc>
          <w:tcPr/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Duração da gravação</w:t>
            </w:r>
          </w:p>
        </w:tc>
      </w:tr>
    </w:tbl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6604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Meta Data: 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Title </w:t>
            </w:r>
          </w:p>
        </w:tc>
        <w:tc>
          <w:tcPr/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Nome do material (ex: Reprise TN2 BL1 14/06)</w:t>
            </w:r>
          </w:p>
        </w:tc>
      </w:tr>
    </w:tbl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562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OBS: Verifique</w:t>
      </w:r>
      <w:r w:rsidDel="00000000" w:rsidR="00000000" w:rsidRPr="00000000">
        <w:rPr>
          <w:rtl w:val="0"/>
        </w:rPr>
        <w:t xml:space="preserve"> se o ID está </w:t>
      </w:r>
      <w:r w:rsidDel="00000000" w:rsidR="00000000" w:rsidRPr="00000000">
        <w:rPr>
          <w:b w:val="1"/>
          <w:rtl w:val="0"/>
        </w:rPr>
        <w:t xml:space="preserve">livre </w:t>
      </w:r>
      <w:r w:rsidDel="00000000" w:rsidR="00000000" w:rsidRPr="00000000">
        <w:rPr>
          <w:rtl w:val="0"/>
        </w:rPr>
        <w:t xml:space="preserve">antes de iniciar. ID’s com material não podem ser utilizados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2.2.3 - Iniciar e finalizar a gravação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Clicar no ícone Cue (azul).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Clicar no ícone Record (vermelho).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Após gravar o material, clicar no ícone Abort (Pause)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O material será disponibilizado no Dolphin 1.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 Pebble fará a automação e distribuirá o conteúdo para os demais Dolphins e o NAS.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2930.999999999999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5"/>
        <w:gridCol w:w="1865.9999999999995"/>
        <w:tblGridChange w:id="0">
          <w:tblGrid>
            <w:gridCol w:w="1065"/>
            <w:gridCol w:w="1865.9999999999995"/>
          </w:tblGrid>
        </w:tblGridChange>
      </w:tblGrid>
      <w:tr>
        <w:trPr>
          <w:cantSplit w:val="0"/>
          <w:trHeight w:val="859.6210937500042" w:hRule="atLeast"/>
          <w:tblHeader w:val="0"/>
        </w:trPr>
        <w:tc>
          <w:tcPr/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6725" cy="447675"/>
                  <wp:effectExtent b="0" l="0" r="0" t="0"/>
                  <wp:docPr id="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47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Cue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5775" cy="495300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Record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7675" cy="447675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447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Abort</w:t>
            </w:r>
          </w:p>
        </w:tc>
      </w:tr>
    </w:tbl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b w:val="1"/>
          <w:rtl w:val="0"/>
        </w:rPr>
        <w:t xml:space="preserve">ATENÇÃO: </w:t>
      </w:r>
      <w:r w:rsidDel="00000000" w:rsidR="00000000" w:rsidRPr="00000000">
        <w:rPr>
          <w:rtl w:val="0"/>
        </w:rPr>
        <w:t xml:space="preserve">Se todos os ícones estiverem cinzas, verificar se o painel está desbloqueado. O cadeado no canto superior esquerdo da tela deve estar verde e com uma chave visível.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000" cy="13700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0" cy="13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2.2.4 - Exemplos de gravação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</w:t>
            </w:r>
          </w:p>
        </w:tc>
        <w:tc>
          <w:tcPr/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Bloco do jornal</w:t>
            </w:r>
          </w:p>
        </w:tc>
        <w:tc>
          <w:tcPr/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5670</w:t>
            </w:r>
          </w:p>
        </w:tc>
        <w:tc>
          <w:tcPr/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TN2 - Bloco 1 </w:t>
            </w:r>
          </w:p>
        </w:tc>
        <w:tc>
          <w:tcPr/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Reprise TN2 BL1 14/06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5671</w:t>
            </w:r>
          </w:p>
        </w:tc>
        <w:tc>
          <w:tcPr/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TN2 - Bloco 2 </w:t>
            </w:r>
          </w:p>
        </w:tc>
        <w:tc>
          <w:tcPr/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Reprise TN2 BL2 14/06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5672</w:t>
            </w:r>
          </w:p>
        </w:tc>
        <w:tc>
          <w:tcPr/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TN2 - Bloco 3  </w:t>
            </w:r>
          </w:p>
        </w:tc>
        <w:tc>
          <w:tcPr/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Reprise TN2 BL3 14/06</w:t>
            </w:r>
          </w:p>
        </w:tc>
      </w:tr>
    </w:tbl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3 - EXPLICAÇÃO DA INTERFACE DO INGEST NA PEBBLE</w:t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3.1 - Item, Source e Review Device 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Media ID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É o código de identificação que o material vai receber. Ele normalmente é passado pelo operador do Controle Mestre e deve estar livre, ou seja, sem nenhum material gravado.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SOM e Duration </w:t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  <w:t xml:space="preserve">O campo SOM significa Start Of Media, ou seja, o ponto de início do conteúdo dentro do arquivo gravado. Já o campo </w:t>
      </w:r>
      <w:r w:rsidDel="00000000" w:rsidR="00000000" w:rsidRPr="00000000">
        <w:rPr>
          <w:b w:val="1"/>
          <w:rtl w:val="0"/>
        </w:rPr>
        <w:t xml:space="preserve">Duration</w:t>
      </w:r>
      <w:r w:rsidDel="00000000" w:rsidR="00000000" w:rsidRPr="00000000">
        <w:rPr>
          <w:rtl w:val="0"/>
        </w:rPr>
        <w:t xml:space="preserve"> mostra a duração total do arquivo que será gravado. No nosso caso, está como </w:t>
      </w:r>
      <w:r w:rsidDel="00000000" w:rsidR="00000000" w:rsidRPr="00000000">
        <w:rPr>
          <w:b w:val="1"/>
          <w:rtl w:val="0"/>
        </w:rPr>
        <w:t xml:space="preserve">10:00:00:00</w:t>
      </w:r>
      <w:r w:rsidDel="00000000" w:rsidR="00000000" w:rsidRPr="00000000">
        <w:rPr>
          <w:rtl w:val="0"/>
        </w:rPr>
        <w:t xml:space="preserve">, o que quer dizer </w:t>
      </w:r>
      <w:r w:rsidDel="00000000" w:rsidR="00000000" w:rsidRPr="00000000">
        <w:rPr>
          <w:b w:val="1"/>
          <w:rtl w:val="0"/>
        </w:rPr>
        <w:t xml:space="preserve">10 horas, 0 minutos, 0 segundos e 0 frames.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b w:val="1"/>
          <w:rtl w:val="0"/>
        </w:rPr>
        <w:t xml:space="preserve">OBS.; O</w:t>
      </w:r>
      <w:r w:rsidDel="00000000" w:rsidR="00000000" w:rsidRPr="00000000">
        <w:rPr>
          <w:rtl w:val="0"/>
        </w:rPr>
        <w:t xml:space="preserve"> campo T.O.D. ao lado significa “Time of Day” e pode indicar que a gravação será feita com base na hora do sistema.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Source (REDE SD1/REDE HD1)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Aqui escolhe de onde o sinal está vindo. As opções são:</w:t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REDE SD1: </w:t>
      </w:r>
      <w:r w:rsidDel="00000000" w:rsidR="00000000" w:rsidRPr="00000000">
        <w:rPr>
          <w:rtl w:val="0"/>
        </w:rPr>
        <w:t xml:space="preserve">sinal da rede em definição padrão (SD)</w:t>
      </w:r>
    </w:p>
    <w:p w:rsidR="00000000" w:rsidDel="00000000" w:rsidP="00000000" w:rsidRDefault="00000000" w:rsidRPr="00000000" w14:paraId="0000005E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REDE HD1: </w:t>
      </w:r>
      <w:r w:rsidDel="00000000" w:rsidR="00000000" w:rsidRPr="00000000">
        <w:rPr>
          <w:rtl w:val="0"/>
        </w:rPr>
        <w:t xml:space="preserve">sinal da rede em alta definição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Deve escolher um dos dois de acordo com sinal disponível no momento.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764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7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Review Device - DOLPHIN 1 ING1 P1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Esse campo mostra o dispositivo que será usado para revisar o conteúdo gravado. No caso Dolphin é servidor que armazena mídia, e o nome ING1 PI identifica qual instância do Dolphin será usada para a gravação específica.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3.2 - Metadata e Destination Device</w:t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Title 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É o nome que vai aparecer associado ao arquivo gravado. Esse nome ajuda a identificar qual material foi gravado e a data correspondente. 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House ID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É um campo complementar ao Media ID. Em muitos casos, pode ter o mesmo valor. Ele serve para ajudar no controle interno e na organização do conteúdo nos sistemas da Pebble.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Classification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Aqui pode definir o tipo de conteúdo que está sendo gravado. Esse campo pode ser usado por sistemas de busca ou para aplicar filtros automáticos.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Markup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Campo opcional. Serve para colocar informações adicionais, como observações técnicas, marcações internas ou algum detalhe específico sobre o conteúdo. Normalmente este campo pode ficar em branco se não houver nenhuma instrução especial.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Destination Device </w:t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  <w:t xml:space="preserve">Mostra o servidor (Dolphin) e a partição onde o material será armazenado. Nesse caso, Dolphin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546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4 - EXPLICAÇÃO DO PAINEL NUCLEUS - COMPONENTES E FUNCIONALIDADES</w:t>
      </w:r>
    </w:p>
    <w:p w:rsidR="00000000" w:rsidDel="00000000" w:rsidP="00000000" w:rsidRDefault="00000000" w:rsidRPr="00000000" w14:paraId="0000007B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Teclas de sinal - Source e Destination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Essas teclas representam fontes (</w:t>
      </w:r>
      <w:r w:rsidDel="00000000" w:rsidR="00000000" w:rsidRPr="00000000">
        <w:rPr>
          <w:b w:val="1"/>
          <w:rtl w:val="0"/>
        </w:rPr>
        <w:t xml:space="preserve">Sources</w:t>
      </w:r>
      <w:r w:rsidDel="00000000" w:rsidR="00000000" w:rsidRPr="00000000">
        <w:rPr>
          <w:rtl w:val="0"/>
        </w:rPr>
        <w:t xml:space="preserve">) e destinos (</w:t>
      </w:r>
      <w:r w:rsidDel="00000000" w:rsidR="00000000" w:rsidRPr="00000000">
        <w:rPr>
          <w:b w:val="1"/>
          <w:rtl w:val="0"/>
        </w:rPr>
        <w:t xml:space="preserve">Destinations</w:t>
      </w:r>
      <w:r w:rsidDel="00000000" w:rsidR="00000000" w:rsidRPr="00000000">
        <w:rPr>
          <w:rtl w:val="0"/>
        </w:rPr>
        <w:t xml:space="preserve">) de sinal.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Como funciona na prática:</w:t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Pressiona o botão Dest (na tela ou tecla física)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Selecione o destino desejado. </w:t>
      </w:r>
    </w:p>
    <w:p w:rsidR="00000000" w:rsidDel="00000000" w:rsidP="00000000" w:rsidRDefault="00000000" w:rsidRPr="00000000" w14:paraId="00000080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Depois pressione o botão Src.</w:t>
      </w:r>
    </w:p>
    <w:p w:rsidR="00000000" w:rsidDel="00000000" w:rsidP="00000000" w:rsidRDefault="00000000" w:rsidRPr="00000000" w14:paraId="0000008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Escolha a fonte de onde o sinal está vindo. </w:t>
      </w:r>
    </w:p>
    <w:p w:rsidR="00000000" w:rsidDel="00000000" w:rsidP="00000000" w:rsidRDefault="00000000" w:rsidRPr="00000000" w14:paraId="00000082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Pressione o botão </w:t>
      </w:r>
      <w:r w:rsidDel="00000000" w:rsidR="00000000" w:rsidRPr="00000000">
        <w:rPr>
          <w:b w:val="1"/>
          <w:rtl w:val="0"/>
        </w:rPr>
        <w:t xml:space="preserve">TAKE </w:t>
      </w:r>
      <w:r w:rsidDel="00000000" w:rsidR="00000000" w:rsidRPr="00000000">
        <w:rPr>
          <w:rtl w:val="0"/>
        </w:rPr>
        <w:t xml:space="preserve">para confirmar o roteamento.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Tela LCD central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Exibe a matriz do roteamento com as colunas Destination e Source. Mostra visualmente qual fonte está sendo roteada para qual destino. Na parte inferior aparecem botões de navegação como: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00"/>
        <w:gridCol w:w="6300"/>
        <w:tblGridChange w:id="0">
          <w:tblGrid>
            <w:gridCol w:w="2700"/>
            <w:gridCol w:w="630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Botão</w:t>
            </w:r>
          </w:p>
        </w:tc>
        <w:tc>
          <w:tcPr/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Função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Dest</w:t>
            </w:r>
          </w:p>
        </w:tc>
        <w:tc>
          <w:tcPr/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Ativa o modo de seleção de destinos (para onde o sinal vai)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Src</w:t>
            </w:r>
          </w:p>
        </w:tc>
        <w:tc>
          <w:tcPr/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Ativa o modo de seleção de fontes (de onde o sinal vem)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BrkAway</w:t>
            </w:r>
          </w:p>
        </w:tc>
        <w:tc>
          <w:tcPr/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Permite separar sinais de áudio e vídeo para roteamento distintos (</w:t>
            </w:r>
            <w:r w:rsidDel="00000000" w:rsidR="00000000" w:rsidRPr="00000000">
              <w:rPr>
                <w:b w:val="1"/>
                <w:rtl w:val="0"/>
              </w:rPr>
              <w:t xml:space="preserve">UTILIZAR SOB SUPERVISÃO</w:t>
            </w:r>
            <w:r w:rsidDel="00000000" w:rsidR="00000000" w:rsidRPr="00000000">
              <w:rPr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Lk (Lock)</w:t>
            </w:r>
          </w:p>
        </w:tc>
        <w:tc>
          <w:tcPr/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Trava ou destrava o roteamento selecionado (impede alterações acidentais)</w:t>
            </w:r>
          </w:p>
        </w:tc>
      </w:tr>
    </w:tbl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50319" cy="2166938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0319" cy="216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Botões adicionais no topo do painel 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Shift, Menu, Pg up, Pg Dn, Parm, Home, Clear: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São usados para navegar entre páginas, acessar configurações, ou ajustar parâmetros.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5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2025"/>
        <w:gridCol w:w="6195"/>
        <w:tblGridChange w:id="0">
          <w:tblGrid>
            <w:gridCol w:w="1305"/>
            <w:gridCol w:w="2025"/>
            <w:gridCol w:w="6195"/>
          </w:tblGrid>
        </w:tblGridChange>
      </w:tblGrid>
      <w:tr>
        <w:trPr>
          <w:cantSplit w:val="0"/>
          <w:trHeight w:val="477.978515625" w:hRule="atLeast"/>
          <w:tblHeader w:val="1"/>
        </w:trPr>
        <w:tc>
          <w:tcPr/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Botão </w:t>
            </w:r>
          </w:p>
        </w:tc>
        <w:tc>
          <w:tcPr/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Nome Completo</w:t>
            </w:r>
          </w:p>
        </w:tc>
        <w:tc>
          <w:tcPr/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Função Prática 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Shift </w:t>
            </w:r>
          </w:p>
        </w:tc>
        <w:tc>
          <w:tcPr/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Shift layer </w:t>
            </w:r>
          </w:p>
        </w:tc>
        <w:tc>
          <w:tcPr/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Permite alternar camadas de funções dos botões. Funciona como uma tecla SHIFT do teclado, ativando comandos secundários nas teclas. 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Pg Up</w:t>
            </w:r>
          </w:p>
        </w:tc>
        <w:tc>
          <w:tcPr/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Page Up </w:t>
            </w:r>
          </w:p>
        </w:tc>
        <w:tc>
          <w:tcPr/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Visualização dos sinais indo para a direita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Pg Dn</w:t>
            </w:r>
          </w:p>
        </w:tc>
        <w:tc>
          <w:tcPr/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Page Down</w:t>
            </w:r>
          </w:p>
        </w:tc>
        <w:tc>
          <w:tcPr/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Visualização dos sinais indo para a esquerda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Options</w:t>
            </w:r>
          </w:p>
        </w:tc>
        <w:tc>
          <w:tcPr/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Opções</w:t>
            </w:r>
          </w:p>
        </w:tc>
        <w:tc>
          <w:tcPr/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Abre configurações específicas de parâmetros relacionados ao item configurados na tela. Pode mostrar configurações específicas para o destino, a fonte ou até roteamento.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Exit</w:t>
            </w:r>
          </w:p>
        </w:tc>
        <w:tc>
          <w:tcPr/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Cancelar/Limpar</w:t>
            </w:r>
          </w:p>
        </w:tc>
        <w:tc>
          <w:tcPr/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Cancela a operação atual. Se você começou a selecionar um destino/source errado use esse botão para limpar tudo e começar de novo.</w:t>
            </w:r>
          </w:p>
        </w:tc>
      </w:tr>
    </w:tbl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71798" cy="192612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798" cy="1926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7" w:type="default"/>
      <w:headerReference r:id="rId28" w:type="first"/>
      <w:footerReference r:id="rId29" w:type="first"/>
      <w:type w:val="nextPage"/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F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E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0">
    <w:pPr>
      <w:rPr/>
    </w:pPr>
    <w:r w:rsidDel="00000000" w:rsidR="00000000" w:rsidRPr="00000000">
      <w:rPr>
        <w:rtl w:val="0"/>
      </w:rPr>
    </w:r>
  </w:p>
  <w:tbl>
    <w:tblPr>
      <w:tblStyle w:val="Table7"/>
      <w:tblW w:w="10845.0" w:type="dxa"/>
      <w:jc w:val="left"/>
      <w:tblInd w:w="-915.0" w:type="dxa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600"/>
    </w:tblPr>
    <w:tblGrid>
      <w:gridCol w:w="2670"/>
      <w:gridCol w:w="2310"/>
      <w:gridCol w:w="1500"/>
      <w:gridCol w:w="1500"/>
      <w:gridCol w:w="2865"/>
      <w:tblGridChange w:id="0">
        <w:tblGrid>
          <w:gridCol w:w="2670"/>
          <w:gridCol w:w="2310"/>
          <w:gridCol w:w="1500"/>
          <w:gridCol w:w="1500"/>
          <w:gridCol w:w="2865"/>
        </w:tblGrid>
      </w:tblGridChange>
    </w:tblGrid>
    <w:tr>
      <w:trPr>
        <w:cantSplit w:val="0"/>
        <w:trHeight w:val="1035" w:hRule="atLeast"/>
        <w:tblHeader w:val="0"/>
      </w:trPr>
      <w:tc>
        <w:tcPr>
          <w:vMerge w:val="restart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vAlign w:val="center"/>
        </w:tcPr>
        <w:p w:rsidR="00000000" w:rsidDel="00000000" w:rsidP="00000000" w:rsidRDefault="00000000" w:rsidRPr="00000000" w14:paraId="000000B1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</w:rPr>
            <w:drawing>
              <wp:inline distB="114300" distT="114300" distL="114300" distR="114300">
                <wp:extent cx="1709738" cy="961095"/>
                <wp:effectExtent b="0" l="0" r="0" t="0"/>
                <wp:docPr id="7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"/>
                        <a:srcRect b="0" l="5555" r="-5555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9738" cy="96109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gridSpan w:val="4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center"/>
        </w:tcPr>
        <w:p w:rsidR="00000000" w:rsidDel="00000000" w:rsidP="00000000" w:rsidRDefault="00000000" w:rsidRPr="00000000" w14:paraId="000000B2">
          <w:pPr>
            <w:widowControl w:val="0"/>
            <w:jc w:val="center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PROCEDIMENTO OPERACIONAL PADRÃO - POP</w:t>
          </w:r>
        </w:p>
      </w:tc>
    </w:tr>
    <w:tr>
      <w:trPr>
        <w:cantSplit w:val="0"/>
        <w:trHeight w:val="315" w:hRule="atLeast"/>
        <w:tblHeader w:val="0"/>
      </w:trPr>
      <w:tc>
        <w:tcPr>
          <w:vMerge w:val="continue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</w:tcPr>
        <w:p w:rsidR="00000000" w:rsidDel="00000000" w:rsidP="00000000" w:rsidRDefault="00000000" w:rsidRPr="00000000" w14:paraId="000000B6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gridSpan w:val="4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center"/>
        </w:tcPr>
        <w:p w:rsidR="00000000" w:rsidDel="00000000" w:rsidP="00000000" w:rsidRDefault="00000000" w:rsidRPr="00000000" w14:paraId="000000B7">
          <w:pPr>
            <w:widowControl w:val="0"/>
            <w:jc w:val="center"/>
            <w:rPr>
              <w:sz w:val="20"/>
              <w:szCs w:val="20"/>
            </w:rPr>
          </w:pPr>
          <w:r w:rsidDel="00000000" w:rsidR="00000000" w:rsidRPr="00000000">
            <w:rPr>
              <w:b w:val="1"/>
              <w:sz w:val="20"/>
              <w:szCs w:val="20"/>
              <w:rtl w:val="0"/>
            </w:rPr>
            <w:t xml:space="preserve">GRAVAÇÃO DE SINAL VIA PEBBLE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315" w:hRule="atLeast"/>
        <w:tblHeader w:val="0"/>
      </w:trPr>
      <w:tc>
        <w:tcPr>
          <w:vMerge w:val="continue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</w:tcPr>
        <w:p w:rsidR="00000000" w:rsidDel="00000000" w:rsidP="00000000" w:rsidRDefault="00000000" w:rsidRPr="00000000" w14:paraId="000000BB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BC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Data: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BD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15/06/2025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BE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Elaborado Por: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BF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Vitória Sandei</w:t>
          </w:r>
        </w:p>
      </w:tc>
    </w:tr>
    <w:tr>
      <w:trPr>
        <w:cantSplit w:val="0"/>
        <w:trHeight w:val="315" w:hRule="atLeast"/>
        <w:tblHeader w:val="0"/>
      </w:trPr>
      <w:tc>
        <w:tcPr>
          <w:vMerge w:val="continue"/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</w:tcPr>
        <w:p w:rsidR="00000000" w:rsidDel="00000000" w:rsidP="00000000" w:rsidRDefault="00000000" w:rsidRPr="00000000" w14:paraId="000000C0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C1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Revisão: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C2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1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C3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Aprovado Por:</w:t>
          </w:r>
        </w:p>
      </w:tc>
      <w:tc>
        <w:tcPr>
          <w:tcBorders>
            <w:top w:color="000000" w:space="0" w:sz="5" w:val="single"/>
            <w:left w:color="000000" w:space="0" w:sz="5" w:val="single"/>
            <w:bottom w:color="000000" w:space="0" w:sz="5" w:val="single"/>
            <w:right w:color="000000" w:space="0" w:sz="5" w:val="single"/>
          </w:tcBorders>
          <w:tcMar>
            <w:top w:w="40.0" w:type="dxa"/>
            <w:left w:w="40.0" w:type="dxa"/>
            <w:bottom w:w="40.0" w:type="dxa"/>
            <w:right w:w="40.0" w:type="dxa"/>
          </w:tcMar>
          <w:vAlign w:val="bottom"/>
        </w:tcPr>
        <w:p w:rsidR="00000000" w:rsidDel="00000000" w:rsidP="00000000" w:rsidRDefault="00000000" w:rsidRPr="00000000" w14:paraId="000000C4">
          <w:pPr>
            <w:widowControl w:val="0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Lucas Morgante</w:t>
          </w:r>
        </w:p>
      </w:tc>
    </w:tr>
  </w:tbl>
  <w:p w:rsidR="00000000" w:rsidDel="00000000" w:rsidP="00000000" w:rsidRDefault="00000000" w:rsidRPr="00000000" w14:paraId="000000C5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6">
    <w:pPr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7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8">
    <w:pPr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8.png"/><Relationship Id="rId21" Type="http://schemas.openxmlformats.org/officeDocument/2006/relationships/image" Target="media/image10.png"/><Relationship Id="rId24" Type="http://schemas.openxmlformats.org/officeDocument/2006/relationships/image" Target="media/image6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4.xml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8" Type="http://schemas.openxmlformats.org/officeDocument/2006/relationships/header" Target="header5.xml"/><Relationship Id="rId27" Type="http://schemas.openxmlformats.org/officeDocument/2006/relationships/header" Target="header6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29" Type="http://schemas.openxmlformats.org/officeDocument/2006/relationships/footer" Target="footer3.xml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11" Type="http://schemas.openxmlformats.org/officeDocument/2006/relationships/footer" Target="footer2.xml"/><Relationship Id="rId10" Type="http://schemas.openxmlformats.org/officeDocument/2006/relationships/header" Target="header3.xml"/><Relationship Id="rId13" Type="http://schemas.openxmlformats.org/officeDocument/2006/relationships/image" Target="media/image1.png"/><Relationship Id="rId12" Type="http://schemas.openxmlformats.org/officeDocument/2006/relationships/image" Target="media/image15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17" Type="http://schemas.openxmlformats.org/officeDocument/2006/relationships/image" Target="media/image5.png"/><Relationship Id="rId16" Type="http://schemas.openxmlformats.org/officeDocument/2006/relationships/image" Target="media/image14.png"/><Relationship Id="rId19" Type="http://schemas.openxmlformats.org/officeDocument/2006/relationships/image" Target="media/image3.png"/><Relationship Id="rId18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